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E" w:rsidRDefault="00E7127E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32"/>
          <w:szCs w:val="21"/>
        </w:rPr>
      </w:pPr>
      <w:r w:rsidRPr="00E7127E">
        <w:rPr>
          <w:rFonts w:ascii="Helvetica" w:hAnsi="Helvetica" w:cs="Helvetica"/>
          <w:noProof/>
          <w:color w:val="141823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margin">
                  <wp:align>center</wp:align>
                </wp:positionH>
                <wp:positionV relativeFrom="paragraph">
                  <wp:posOffset>-607695</wp:posOffset>
                </wp:positionV>
                <wp:extent cx="1549400" cy="1479550"/>
                <wp:effectExtent l="0" t="0" r="0" b="63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47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27E" w:rsidRDefault="00E7127E" w:rsidP="005F074D">
                            <w:pPr>
                              <w:jc w:val="center"/>
                            </w:pPr>
                            <w:r>
                              <w:rPr>
                                <w:lang w:eastAsia="pt-BR"/>
                              </w:rPr>
                              <w:drawing>
                                <wp:inline distT="0" distB="0" distL="0" distR="0" wp14:anchorId="68C0D8B0" wp14:editId="4945D67E">
                                  <wp:extent cx="1094082" cy="1316048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erfil Face3a Vineyard Magé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4082" cy="1316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47.85pt;width:122pt;height:11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" filled="f" stroked="f">
                <v:textbox>
                  <w:txbxContent>
                    <w:p w:rsidR="00E7127E" w:rsidRDefault="00E7127E" w:rsidP="005F074D">
                      <w:pPr>
                        <w:jc w:val="center"/>
                      </w:pPr>
                      <w:r>
                        <w:rPr>
                          <w:lang w:eastAsia="pt-BR"/>
                        </w:rPr>
                        <w:drawing>
                          <wp:inline distT="0" distB="0" distL="0" distR="0" wp14:anchorId="68C0D8B0" wp14:editId="4945D67E">
                            <wp:extent cx="1094082" cy="1316048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erfil Face3a Vineyard Magé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4082" cy="1316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27E" w:rsidRDefault="00E7127E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32"/>
          <w:szCs w:val="21"/>
        </w:rPr>
      </w:pPr>
    </w:p>
    <w:p w:rsidR="00E7127E" w:rsidRDefault="00E7127E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32"/>
          <w:szCs w:val="21"/>
        </w:rPr>
      </w:pPr>
      <w:bookmarkStart w:id="0" w:name="_GoBack"/>
      <w:bookmarkEnd w:id="0"/>
    </w:p>
    <w:p w:rsidR="00E7127E" w:rsidRDefault="00E7127E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32"/>
          <w:szCs w:val="21"/>
        </w:rPr>
      </w:pP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32"/>
          <w:szCs w:val="21"/>
        </w:rPr>
      </w:pPr>
      <w:r w:rsidRPr="00F10D99">
        <w:rPr>
          <w:rFonts w:ascii="Helvetica" w:hAnsi="Helvetica" w:cs="Helvetica"/>
          <w:color w:val="141823"/>
          <w:sz w:val="32"/>
          <w:szCs w:val="21"/>
        </w:rPr>
        <w:t xml:space="preserve">POR QUE O </w:t>
      </w:r>
      <w:r w:rsidRPr="00AC2EA0">
        <w:rPr>
          <w:rFonts w:ascii="Helvetica" w:hAnsi="Helvetica" w:cs="Helvetica"/>
          <w:color w:val="141823"/>
          <w:sz w:val="32"/>
          <w:szCs w:val="21"/>
        </w:rPr>
        <w:t>REINO</w:t>
      </w:r>
      <w:r w:rsidRPr="00F10D99">
        <w:rPr>
          <w:rFonts w:ascii="Helvetica" w:hAnsi="Helvetica" w:cs="Helvetica"/>
          <w:color w:val="141823"/>
          <w:sz w:val="32"/>
          <w:szCs w:val="21"/>
        </w:rPr>
        <w:t xml:space="preserve"> DE DEUS É TÃO IMPORTANTE?</w:t>
      </w:r>
    </w:p>
    <w:p w:rsid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>A teologia do Reino desempenha um papel único e crucial no legado histórico da Vineyard. Deixe-me explicar.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>Um conjunto único de fatores se juntou de forma sinérgica no começo da história do Movimento Vineyard.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John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foi professor na Escola de Missões Mundiais do Seminário Teológico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Fuller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>, especializando-se em crescimento e plantação de igrejas. Eu me lembro de visitá-lo logo após essa fase. Eu fui apresentado a um conjunto de teses sobre crescimento de igrejas que haviam sido introduzidas a ele. Ele sabia perfeitamente o que funcionava e o que não funcionava na plantação de igrejas. Ele trabalhava como consultor de crescimento de igrejas já há vários anos. Esse é o fundamento sobre o qual repousa o conhecimento prático sobre plantação de igrejas e missões do Movimento Vineyard.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Enquanto John estava no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Fuller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o professor de Novo Testamento era George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Ladd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autor de vários livros sobre o Reino de Deus – em especial, de “The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Presence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of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the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Future” (A presença do futuro).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Ladd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não era famoso e nem mesmo um teólogo de referência em Novo Testamento em sua época, mas ele era um estudioso com credibilidade internacional. O que o tornava diferente dos demais era que ele introduziu a redescoberta da Teologia do Reino ao mundo teológico Evangélico Conservador, onde ele era altamente respeitado. Desde o período apostólico a escatologia (destino da humanidade e o fim do mundo) foi amplamente perdida no contexto da mensagem de Jesus. Durante o século 19, os estudiosos orientais descobriram um universo de literaturas que remetiam a épocas anteriores, contemporâneas e posteriores ao período do Novo Testamento. Durante o século 20 essas descobertas levaram a uma explosão de questionamentos e debates sobre o “Jesus Histórico” e sobre o que Ele queria dizer quando se referia ao “Reino de Deus”. A essência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dessa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redescoberta era que a linguagem e a forma de pensar de Jesus estavam saturadas de escatologia (linguagem do fim do mundo).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Ladd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resumiu e articulou os resultados desse conhecimento, conquistando reconhecimento dos mais sensíveis estudiosos bíblicos do seu tempo.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O Movimento Vineyard nasceu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à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partir de um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reavivamento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chamado de Povo de Jesus (Jesus People) ou Movimento de Jesus (Jesus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Movement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). Uma característica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desse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reavivamento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era os encontros de poder, normalmente com libertação de influência demoníaca, associada ao abuso de drogas. A história de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Lonnie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Frisbee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e o fenômeno que culminou com o surgimento da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Vineyard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(até então,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Calvary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Chapel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)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está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agora bem documentada. Tudo isso, associado aos resultados de pesquisas que John estava tendo acesso através da faculdade de missões do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Fuller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>, sobre o papel dos sinais e maravilhas no crescimento da igreja, se tornaram o objeto do seu famoso curso MC510.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Antes de ser parte da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Calvary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Chapel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havia sido um pastor Quaker. 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Quakers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eram chamados assim porque “tremiam”, ou “sacudiam” quando o Espírito Santo vinha sobre eles em suas reuniões. A história dos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Quakers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foi um ponto de partida importante através do qual John compreendeu o fenômeno do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reavivamento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no Movimento de Jesus.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lastRenderedPageBreak/>
        <w:tab/>
      </w:r>
      <w:r w:rsidRPr="00F10D99">
        <w:rPr>
          <w:rFonts w:ascii="Helvetica" w:hAnsi="Helvetica" w:cs="Helvetica"/>
          <w:color w:val="141823"/>
          <w:szCs w:val="21"/>
        </w:rPr>
        <w:t xml:space="preserve">Tudo isso se junta de forma sinérgica. Os fenômenos de poder, ou sinais e maravilhas, através do ponto de vista dos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Quakers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se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integra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à redescoberta da Teologia do Reino – uma teologia que dava suporte a esta integração, reconhecendo que Jesus ensinou e demonstrou a chegada do Reino, ou como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dizia, praticou as palavras e obras do Reino. Ed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Piorek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no seu excelente estudo, chamado “Estilo clássico da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Vineyard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>” (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Vineyard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classic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) explica como as primeiras reuniões da Vineyard sempre tinham três ingredientes. Primeiro, havia o período de louvor liderado por John – uma adoração íntima que nos levava à presença de Deus. Em seguida, John ensinava sobre o Reino – normalmente se referindo à teologia de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Ladd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contida no livro “The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Presence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of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the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Future” (A presença do futuro). Finalmente, eles iniciavam o “período de ministração”, que tinha uma nítida influência dos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Quakers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— orando, convidando e esperando pela vinda do Espírito Santo.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Vários estudiosos usavam frases, ou slogans, para definir a mensagem do Reino e o ministério de Jesus. Muitos falavam do “já” e do “ainda não”, alguns falavam sobre “vivermos entre épocas”, mas talvez o melhor termo, e que ainda hoje é amplamente utilizado, seja que Jesus ensinou e demonstrou a “Escatologia Inaugurada”. Os poderes do mundo futuro ou do fim do mundo (o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eschaton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) já foram inaugurados na terra através de Jesus. O fim dos tempos começava a tomar forma enquanto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a presente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era ainda não havia terminado. Esta maneira de ver o que Jesus ensinou está hoje amplamente estabelecida nos meios de estudos bíblicos. De fato, ninguém pode passar por uma faculdade ou seminário de credibilidade acadêmica sem ser exposto a esse entendimento. No entanto, Jesus não apenas ensinou sobre o início da escatologia, Ele demonstrou isso. Na verdade, Ele inaugurou o Reino futuro! Embora seja possível encontrar uma percepção do que Jesus fez, e uma grande quantidade de teorias sobre o assunto nos estudos bíblicos, hoje pouquíssimos estudiosos estarão envolvidos na tentativa de inaugurar o Reino eles mesmos ou de convocar a Igreja para vivenciar isso na prática. A teoria não leva à prática. Também é verdade que enquanto 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Evangelicalismo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Conservador é consciente sobre a teologia da Escatologia Inaugurada, o mesmo não acontece nos círculos Pentecostais, onde há um comprometimento com as manifestações do Espírito. Os Pentecostais têm o seu próprio padrão teológico de sinais e maravilhas, e não é o mesmo padrão da Escatologia Inaugurada.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estava envolvido com algo extremamente raro, gerado por uma sinergia ímpar no início da história da Vineyard. Ele estava envolvido com a Escatologia Inaugurada. Ou, para usar outra terminologia,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iniciou o modelo dos “Evangélicos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Empoderados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" (ou cheios de poder) e sua práxis do Reino. Até onde eu sei, existem apenas dois movimentos no mundo de hoje que adotaram a Escatologia Inaugurada como seu paradigma teológico primário. Eles são o Movimento New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Wine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(Vinho Novo), nascido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sob influência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do ministério de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>, e o Movimento Vineyard.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Existem outros movimentos recentes, onde alguns poucos líderes entendem isso muito bem, que irão se referir a este paradigma, mas eu ainda não encontrei outros movimentos que tenham feito deste entendimento a base de sua teologia. Se houver, eu gostaria de ser informado. Muitos agem fora do paradigma Pentecostal clássico, ou fora do cenário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Restauracionista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, mas isso não é a mesma coisa. Há também muitos que poderiam ser descritos como "Evangélicos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empoderados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", mas poucos deles adotam a práxis do Reino. Eles, em geral, se identificam com o padrão teológico Reformado (abraçando os cinco pontos do </w:t>
      </w:r>
      <w:r w:rsidRPr="00F10D99">
        <w:rPr>
          <w:rFonts w:ascii="Helvetica" w:hAnsi="Helvetica" w:cs="Helvetica"/>
          <w:color w:val="141823"/>
          <w:szCs w:val="21"/>
        </w:rPr>
        <w:lastRenderedPageBreak/>
        <w:t xml:space="preserve">Calvinismo, a Teologia Reformada enfatiza a centralidade de Deus ao invés da centralidade do homem - é Deus quem nos escolheu, e não nós que O escolhemos; é Ele que opera em nós a graça da salvação e transformação), e, então, repudiam 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Cessacionismo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(a crença de que os dons espirituais morreram com os apóstolos quando a Bíblia estava concluída). Isso não significa que eles pratiquem a Escatologia Inaugurada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Uma das minhas grandes preocupações é que surja uma geração de líderes na Vineyard que não saiba de onde viemos e que a nossa herança seja perdida. Deixe-me expressar a minha preocupação da seguinte forma: nós somos, ou deveríamos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ser,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fortes em três coisas. Em primeiro lugar, de acordo com o legado de missões e crescimento da igreja, a Vineyard é muito pragmática. Podemos regularmente inovar nossos modelos de ministério. Não temos regras históricas de procedimento que nos amarrem. Nós podemos descartar aquilo que não funciona. Isso é ótimo! Em segundo lugar, temos uma herança de encontro com Deus, ou do ministério de poder do Espírito Santo. Podemos ser descritos como bastante místicos em nossa adoração. Somos orientados para a experiência com Deus, e somos guiados por essa busca. Terceiro, nós temos um legado da Teologia do Reino, a qual eu descrevi como, Escatologia Inaugurada. Se olharmos historicamente para o Movimento Metodista, pelo qual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Wimber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tinha um grande respeito, podemos ver uma grande semelhança com a Vineyard: um excelente pragmatismo (eles não foram chamados de "metodistas" à toa) e uma história de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reavivamento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e experiências de "bênçãos" - como eles as chamavam. No entanto, os Metodistas nunca foram fortes na doutrina, ou em seus fundamentos teológicos (como, por exemplo, as igrejas Reformadas são). Infelizmente, quando veio o liberalismo teológico, ele teve um efeito mais devastador sobre o Metodismo do que sobre outros movimentos. Temo que se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separarmos</w:t>
      </w:r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nosso pragmatismo e orientação experiencial da nossa herança teológica, podemos nos tornar um movimento muito liberal no transcurso de apenas uma geração.</w:t>
      </w:r>
    </w:p>
    <w:p w:rsidR="00F10D99" w:rsidRP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  <w:r>
        <w:rPr>
          <w:rFonts w:ascii="Helvetica" w:hAnsi="Helvetica" w:cs="Helvetica"/>
          <w:color w:val="141823"/>
          <w:szCs w:val="21"/>
        </w:rPr>
        <w:tab/>
      </w:r>
      <w:r w:rsidRPr="00F10D99">
        <w:rPr>
          <w:rFonts w:ascii="Helvetica" w:hAnsi="Helvetica" w:cs="Helvetica"/>
          <w:color w:val="141823"/>
          <w:szCs w:val="21"/>
        </w:rPr>
        <w:t xml:space="preserve">Em outras palavras, a maioria dos que estão na Vineyard hoje tem algum histórico no 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Evangelicalismo</w:t>
      </w:r>
      <w:proofErr w:type="spellEnd"/>
      <w:r w:rsidRPr="00F10D99">
        <w:rPr>
          <w:rFonts w:ascii="Helvetica" w:hAnsi="Helvetica" w:cs="Helvetica"/>
          <w:color w:val="141823"/>
          <w:szCs w:val="21"/>
        </w:rPr>
        <w:t xml:space="preserve"> Conservador ou no Pentecostalismo. Ambas as tradições têm dado uma contribuição rica e maravilhosa para a Igreja e vão continuar a fazê-lo. No entanto, a Vineyard não pertence nem a uma corrente, nem à outra. Se perdermos nossas raízes teológicas, e deixarmos a Escatologia Inaugurada para trás, certamente vamos cair em um dos dois </w:t>
      </w:r>
      <w:proofErr w:type="gramStart"/>
      <w:r w:rsidRPr="00F10D99">
        <w:rPr>
          <w:rFonts w:ascii="Helvetica" w:hAnsi="Helvetica" w:cs="Helvetica"/>
          <w:color w:val="141823"/>
          <w:szCs w:val="21"/>
        </w:rPr>
        <w:t>modelos –</w:t>
      </w:r>
      <w:proofErr w:type="spellStart"/>
      <w:r w:rsidRPr="00F10D99">
        <w:rPr>
          <w:rFonts w:ascii="Helvetica" w:hAnsi="Helvetica" w:cs="Helvetica"/>
          <w:color w:val="141823"/>
          <w:szCs w:val="21"/>
        </w:rPr>
        <w:t>Evangelicalismo</w:t>
      </w:r>
      <w:proofErr w:type="spellEnd"/>
      <w:proofErr w:type="gramEnd"/>
      <w:r w:rsidRPr="00F10D99">
        <w:rPr>
          <w:rFonts w:ascii="Helvetica" w:hAnsi="Helvetica" w:cs="Helvetica"/>
          <w:color w:val="141823"/>
          <w:szCs w:val="21"/>
        </w:rPr>
        <w:t xml:space="preserve"> Conservador ou Pentecostalismo Clássico. Se isso ocorrer, vamos deixar de oferecer para a Igreja o nosso sabor singular. Isso seria trágico.</w:t>
      </w:r>
    </w:p>
    <w:p w:rsidR="00F10D99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Cs w:val="21"/>
        </w:rPr>
      </w:pPr>
    </w:p>
    <w:p w:rsidR="00F10D99" w:rsidRPr="0044248F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b/>
          <w:color w:val="141823"/>
          <w:szCs w:val="21"/>
        </w:rPr>
      </w:pPr>
      <w:r w:rsidRPr="0044248F">
        <w:rPr>
          <w:rFonts w:ascii="Helvetica" w:hAnsi="Helvetica" w:cs="Helvetica"/>
          <w:b/>
          <w:color w:val="141823"/>
          <w:szCs w:val="21"/>
        </w:rPr>
        <w:t xml:space="preserve">Derek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</w:rPr>
        <w:t>Morphew</w:t>
      </w:r>
      <w:proofErr w:type="spellEnd"/>
      <w:r w:rsidRPr="0044248F">
        <w:rPr>
          <w:rFonts w:ascii="Helvetica" w:hAnsi="Helvetica" w:cs="Helvetica"/>
          <w:b/>
          <w:color w:val="141823"/>
          <w:szCs w:val="21"/>
        </w:rPr>
        <w:t xml:space="preserve"> é um dos mais respeitados e conhecidos teólogos da Vineyard.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  <w:lang w:val="en-US"/>
        </w:rPr>
        <w:t>Ele</w:t>
      </w:r>
      <w:proofErr w:type="spellEnd"/>
      <w:r w:rsidRPr="0044248F">
        <w:rPr>
          <w:rFonts w:ascii="Helvetica" w:hAnsi="Helvetica" w:cs="Helvetica"/>
          <w:b/>
          <w:color w:val="141823"/>
          <w:szCs w:val="21"/>
          <w:lang w:val="en-US"/>
        </w:rPr>
        <w:t xml:space="preserve">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  <w:lang w:val="en-US"/>
        </w:rPr>
        <w:t>publicou</w:t>
      </w:r>
      <w:proofErr w:type="spellEnd"/>
      <w:r w:rsidRPr="0044248F">
        <w:rPr>
          <w:rFonts w:ascii="Helvetica" w:hAnsi="Helvetica" w:cs="Helvetica"/>
          <w:b/>
          <w:color w:val="141823"/>
          <w:szCs w:val="21"/>
          <w:lang w:val="en-US"/>
        </w:rPr>
        <w:t xml:space="preserve">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  <w:lang w:val="en-US"/>
        </w:rPr>
        <w:t>dois</w:t>
      </w:r>
      <w:proofErr w:type="spellEnd"/>
      <w:r w:rsidRPr="0044248F">
        <w:rPr>
          <w:rFonts w:ascii="Helvetica" w:hAnsi="Helvetica" w:cs="Helvetica"/>
          <w:b/>
          <w:color w:val="141823"/>
          <w:szCs w:val="21"/>
          <w:lang w:val="en-US"/>
        </w:rPr>
        <w:t xml:space="preserve">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  <w:lang w:val="en-US"/>
        </w:rPr>
        <w:t>livros</w:t>
      </w:r>
      <w:proofErr w:type="spellEnd"/>
      <w:r w:rsidRPr="0044248F">
        <w:rPr>
          <w:rFonts w:ascii="Helvetica" w:hAnsi="Helvetica" w:cs="Helvetica"/>
          <w:b/>
          <w:color w:val="141823"/>
          <w:szCs w:val="21"/>
          <w:lang w:val="en-US"/>
        </w:rPr>
        <w:t xml:space="preserve">: “South Africa: the power behind” e “Breakthrough: Discovering the Kingdom”. </w:t>
      </w:r>
      <w:r w:rsidRPr="0044248F">
        <w:rPr>
          <w:rFonts w:ascii="Helvetica" w:hAnsi="Helvetica" w:cs="Helvetica"/>
          <w:b/>
          <w:color w:val="141823"/>
          <w:szCs w:val="21"/>
        </w:rPr>
        <w:t xml:space="preserve">Ele é o pastor-fundador da Comunidade Cristã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</w:rPr>
        <w:t>Vineyard</w:t>
      </w:r>
      <w:proofErr w:type="spellEnd"/>
      <w:r w:rsidRPr="0044248F">
        <w:rPr>
          <w:rFonts w:ascii="Helvetica" w:hAnsi="Helvetica" w:cs="Helvetica"/>
          <w:b/>
          <w:color w:val="141823"/>
          <w:szCs w:val="21"/>
        </w:rPr>
        <w:t xml:space="preserve"> em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</w:rPr>
        <w:t>Kenilworth</w:t>
      </w:r>
      <w:proofErr w:type="spellEnd"/>
      <w:r w:rsidRPr="0044248F">
        <w:rPr>
          <w:rFonts w:ascii="Helvetica" w:hAnsi="Helvetica" w:cs="Helvetica"/>
          <w:b/>
          <w:color w:val="141823"/>
          <w:szCs w:val="21"/>
        </w:rPr>
        <w:t xml:space="preserve">, Cidade do Cabo, na África do Sul, serve na equipe de liderança nacional da Associação das Igrejas Vineyard da África do Sul e é o Deão do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</w:rPr>
        <w:t>Vineyard</w:t>
      </w:r>
      <w:proofErr w:type="spellEnd"/>
      <w:r w:rsidRPr="0044248F">
        <w:rPr>
          <w:rFonts w:ascii="Helvetica" w:hAnsi="Helvetica" w:cs="Helvetica"/>
          <w:b/>
          <w:color w:val="141823"/>
          <w:szCs w:val="21"/>
        </w:rPr>
        <w:t xml:space="preserve"> </w:t>
      </w:r>
      <w:proofErr w:type="spellStart"/>
      <w:r w:rsidRPr="0044248F">
        <w:rPr>
          <w:rFonts w:ascii="Helvetica" w:hAnsi="Helvetica" w:cs="Helvetica"/>
          <w:b/>
          <w:color w:val="141823"/>
          <w:szCs w:val="21"/>
        </w:rPr>
        <w:t>Institute</w:t>
      </w:r>
      <w:proofErr w:type="spellEnd"/>
      <w:r w:rsidRPr="0044248F">
        <w:rPr>
          <w:rFonts w:ascii="Helvetica" w:hAnsi="Helvetica" w:cs="Helvetica"/>
          <w:b/>
          <w:color w:val="141823"/>
          <w:szCs w:val="21"/>
        </w:rPr>
        <w:t>.</w:t>
      </w:r>
    </w:p>
    <w:p w:rsidR="005F074D" w:rsidRDefault="005F074D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20"/>
          <w:szCs w:val="21"/>
        </w:rPr>
      </w:pPr>
    </w:p>
    <w:p w:rsidR="00F10D99" w:rsidRPr="0044248F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20"/>
          <w:szCs w:val="21"/>
        </w:rPr>
      </w:pPr>
      <w:r w:rsidRPr="0044248F">
        <w:rPr>
          <w:rFonts w:ascii="Helvetica" w:hAnsi="Helvetica" w:cs="Helvetica"/>
          <w:color w:val="141823"/>
          <w:sz w:val="20"/>
          <w:szCs w:val="21"/>
        </w:rPr>
        <w:t>Fonte:</w:t>
      </w:r>
      <w:r w:rsidR="005F074D">
        <w:rPr>
          <w:rFonts w:ascii="Helvetica" w:hAnsi="Helvetica" w:cs="Helvetica"/>
          <w:color w:val="141823"/>
          <w:sz w:val="20"/>
          <w:szCs w:val="21"/>
        </w:rPr>
        <w:t xml:space="preserve"> </w:t>
      </w:r>
      <w:hyperlink r:id="rId6" w:tgtFrame="_blank" w:history="1">
        <w:r w:rsidRPr="0044248F">
          <w:rPr>
            <w:rStyle w:val="Hyperlink"/>
            <w:rFonts w:ascii="Helvetica" w:hAnsi="Helvetica" w:cs="Helvetica"/>
            <w:color w:val="3B5998"/>
            <w:sz w:val="20"/>
            <w:szCs w:val="21"/>
            <w:u w:val="none"/>
          </w:rPr>
          <w:t>http://www.vineyardchurches.org.uk</w:t>
        </w:r>
      </w:hyperlink>
    </w:p>
    <w:p w:rsidR="00F10D99" w:rsidRPr="0044248F" w:rsidRDefault="00F10D99" w:rsidP="0044248F">
      <w:pPr>
        <w:pStyle w:val="NormalWeb"/>
        <w:shd w:val="clear" w:color="auto" w:fill="FFFFFF"/>
        <w:tabs>
          <w:tab w:val="left" w:pos="1701"/>
        </w:tabs>
        <w:spacing w:before="0" w:beforeAutospacing="0" w:after="0" w:afterAutospacing="0"/>
        <w:jc w:val="both"/>
        <w:rPr>
          <w:rFonts w:ascii="Helvetica" w:hAnsi="Helvetica" w:cs="Helvetica"/>
          <w:color w:val="141823"/>
          <w:sz w:val="20"/>
          <w:szCs w:val="21"/>
        </w:rPr>
      </w:pPr>
      <w:r w:rsidRPr="0044248F">
        <w:rPr>
          <w:rFonts w:ascii="Helvetica" w:hAnsi="Helvetica" w:cs="Helvetica"/>
          <w:color w:val="141823"/>
          <w:sz w:val="20"/>
          <w:szCs w:val="21"/>
        </w:rPr>
        <w:t xml:space="preserve">Tradução: Maurício </w:t>
      </w:r>
      <w:proofErr w:type="spellStart"/>
      <w:r w:rsidRPr="0044248F">
        <w:rPr>
          <w:rFonts w:ascii="Helvetica" w:hAnsi="Helvetica" w:cs="Helvetica"/>
          <w:color w:val="141823"/>
          <w:sz w:val="20"/>
          <w:szCs w:val="21"/>
        </w:rPr>
        <w:t>Boehme</w:t>
      </w:r>
      <w:proofErr w:type="spellEnd"/>
    </w:p>
    <w:sectPr w:rsidR="00F10D99" w:rsidRPr="0044248F" w:rsidSect="004A0016">
      <w:pgSz w:w="11906" w:h="16838"/>
      <w:pgMar w:top="1417" w:right="1418" w:bottom="141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9"/>
    <w:rsid w:val="0044248F"/>
    <w:rsid w:val="004A0016"/>
    <w:rsid w:val="005F074D"/>
    <w:rsid w:val="00AC2EA0"/>
    <w:rsid w:val="00B25D00"/>
    <w:rsid w:val="00E7127E"/>
    <w:rsid w:val="00F1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9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0D99"/>
  </w:style>
  <w:style w:type="character" w:styleId="Hyperlink">
    <w:name w:val="Hyperlink"/>
    <w:basedOn w:val="Fontepargpadro"/>
    <w:uiPriority w:val="99"/>
    <w:semiHidden/>
    <w:unhideWhenUsed/>
    <w:rsid w:val="00F10D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D9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0D99"/>
  </w:style>
  <w:style w:type="character" w:styleId="Hyperlink">
    <w:name w:val="Hyperlink"/>
    <w:basedOn w:val="Fontepargpadro"/>
    <w:uiPriority w:val="99"/>
    <w:semiHidden/>
    <w:unhideWhenUsed/>
    <w:rsid w:val="00F10D9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2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neyardchurches.org.u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1564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Veronica Jacy</dc:creator>
  <cp:lastModifiedBy>Usuário do Windows</cp:lastModifiedBy>
  <cp:revision>4</cp:revision>
  <cp:lastPrinted>2016-06-16T01:50:00Z</cp:lastPrinted>
  <dcterms:created xsi:type="dcterms:W3CDTF">2015-06-02T17:48:00Z</dcterms:created>
  <dcterms:modified xsi:type="dcterms:W3CDTF">2019-02-03T13:10:00Z</dcterms:modified>
</cp:coreProperties>
</file>